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50" w:rsidRDefault="005A5B50" w:rsidP="005A5B50">
      <w:pPr>
        <w:spacing w:line="240" w:lineRule="auto"/>
        <w:jc w:val="both"/>
      </w:pPr>
      <w:r>
        <w:t>TARGETS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Identify and explain how political, economic, geographic, and social forces contributed to the development of apartheid and its demise.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Recognize the different tactics employed in resisting apartheid.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Use a timeline to label the political, social, economic, and geographic changes that occurred over time before and during the apartheid era.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Name and discuss the political, social, economic, and geographic effects as a result of apartheid on South African society.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Describe the system of apartheid and its components.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Articulate how apartheid influenced the various racial groups in society and their contexts.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Recognize the ways in which an individual’s context shapes his/her perspective.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Utilize a map to recognize the strategic role of geography in advancing apartheid policy.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Comprehend the stories, themes, and motivations within an art piece.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Contemplate how an artist’s experiences influence their expression through his/her medium.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Use film to ask questions about the system of apartheid, systems of resistance, and the various experiences of South Africans who lived under these systems.</w:t>
      </w:r>
    </w:p>
    <w:p w:rsidR="005A5B50" w:rsidRDefault="005A5B50" w:rsidP="005A5B50">
      <w:pPr>
        <w:numPr>
          <w:ilvl w:val="0"/>
          <w:numId w:val="1"/>
        </w:numPr>
        <w:spacing w:line="240" w:lineRule="auto"/>
        <w:rPr>
          <w:rFonts w:eastAsia="Times New Roman"/>
        </w:rPr>
      </w:pPr>
      <w:r>
        <w:rPr>
          <w:rFonts w:eastAsia="Times New Roman"/>
        </w:rPr>
        <w:t>Analyze written and visual texts for connection to themes of apartheid, resistance, and the single story.</w:t>
      </w:r>
    </w:p>
    <w:p w:rsidR="005A5B50" w:rsidRDefault="005A5B50" w:rsidP="005A5B50">
      <w:pPr>
        <w:rPr>
          <w:color w:val="1F497D"/>
        </w:rPr>
      </w:pPr>
    </w:p>
    <w:p w:rsidR="005A5B50" w:rsidRDefault="005A5B50" w:rsidP="005A5B50">
      <w:pPr>
        <w:rPr>
          <w:color w:val="1F497D"/>
        </w:rPr>
      </w:pPr>
    </w:p>
    <w:p w:rsidR="005A5B50" w:rsidRDefault="005A5B50" w:rsidP="005A5B50">
      <w:pPr>
        <w:rPr>
          <w:color w:val="1F497D"/>
        </w:rPr>
      </w:pPr>
    </w:p>
    <w:p w:rsidR="005A5B50" w:rsidRDefault="005A5B50" w:rsidP="005A5B50">
      <w:pPr>
        <w:rPr>
          <w:color w:val="1F497D"/>
        </w:rPr>
      </w:pPr>
      <w:r>
        <w:rPr>
          <w:color w:val="1F497D"/>
        </w:rPr>
        <w:t>LARGER GOALS (more long term)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challenge students’ mental models of Africa as a place of despair, disease, and poverty alone.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 xml:space="preserve">To offer a new way of thinking when examining other single stories. 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seek out stories of resistance when analyzing a narrative of oppression.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empower students to recognize the role of individuals in affecting change.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recognize the relationship between privilege and policy.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prompt students to reexamine and question their existing interpretations; specifically, as it relates to structures of power.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cultivate students’ appreciation for art as a story-telling medium and as an agent of influence.</w:t>
      </w:r>
    </w:p>
    <w:p w:rsidR="005A5B50" w:rsidRDefault="005A5B50" w:rsidP="005A5B50">
      <w:pPr>
        <w:numPr>
          <w:ilvl w:val="0"/>
          <w:numId w:val="2"/>
        </w:numPr>
        <w:spacing w:line="240" w:lineRule="auto"/>
      </w:pPr>
      <w:r>
        <w:t>To build visual literacy skills.</w:t>
      </w:r>
    </w:p>
    <w:p w:rsidR="005A5B50" w:rsidRDefault="005A5B50" w:rsidP="005A5B50">
      <w:pPr>
        <w:rPr>
          <w:color w:val="1F497D"/>
        </w:rPr>
      </w:pPr>
    </w:p>
    <w:p w:rsidR="00A05DBB" w:rsidRDefault="00A05DBB">
      <w:bookmarkStart w:id="0" w:name="_GoBack"/>
      <w:bookmarkEnd w:id="0"/>
    </w:p>
    <w:sectPr w:rsidR="00A0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4990581E"/>
    <w:multiLevelType w:val="hybridMultilevel"/>
    <w:tmpl w:val="6D2A4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50"/>
    <w:rsid w:val="005A5B50"/>
    <w:rsid w:val="00A0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 MT" w:eastAsiaTheme="minorHAnsi" w:hAnsi="Gill Sans MT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B50"/>
    <w:pPr>
      <w:spacing w:after="0" w:line="240" w:lineRule="exact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 MT" w:eastAsiaTheme="minorHAnsi" w:hAnsi="Gill Sans MT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B50"/>
    <w:pPr>
      <w:spacing w:after="0" w:line="240" w:lineRule="exact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Stillwell, Loren</dc:creator>
  <cp:keywords/>
  <dc:description/>
  <cp:lastModifiedBy>Stillwell, Loren</cp:lastModifiedBy>
  <cp:revision>1</cp:revision>
  <dcterms:created xsi:type="dcterms:W3CDTF">2011-11-10T16:17:00Z</dcterms:created>
  <dcterms:modified xsi:type="dcterms:W3CDTF">2011-11-10T16:17:00Z</dcterms:modified>
</cp:coreProperties>
</file>